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pPr>
      <w:r>
        <w:t>Field &amp; 3D Tournament Organiser (TO) check list</w:t>
      </w:r>
    </w:p>
    <w:p>
      <w:pPr>
        <w:rPr>
          <w:rFonts w:ascii="Arial" w:hAnsi="Arial" w:eastAsia="Arial" w:cs="Arial"/>
        </w:rPr>
      </w:pPr>
      <w:r>
        <w:rPr>
          <w:rFonts w:ascii="Arial" w:hAnsi="Arial" w:eastAsia="Arial" w:cs="Arial"/>
        </w:rPr>
        <w:t>There are a number of actions/considerations required in order to run a field or 3D shoot, adhering to AGB rules.  The following table provides a check list for TO’s to ensure that nothing is missed.</w:t>
      </w:r>
    </w:p>
    <w:tbl>
      <w:tblPr>
        <w:tblStyle w:val="GridTable4-Accent1"/>
        <w:name w:val="Table1"/>
        <w:tabOrder w:val="0"/>
        <w:jc w:val="left"/>
        <w:tblInd w:w="0" w:type="dxa"/>
        <w:tblW w:w="15399" w:type="dxa"/>
        <w:tblLook w:val="0420" w:firstRow="1" w:lastRow="0" w:firstColumn="0" w:lastColumn="0" w:noHBand="0" w:noVBand="1"/>
      </w:tblPr>
      <w:tblGrid>
        <w:gridCol w:w="2371"/>
        <w:gridCol w:w="9827"/>
        <w:gridCol w:w="3201"/>
      </w:tblGrid>
      <w:tr>
        <w:trPr>
          <w:tblHeader w:val="0"/>
          <w:cantSplit w:val="0"/>
          <w:trHeight w:val="0" w:hRule="auto"/>
        </w:trPr>
        <w:tc>
          <w:tcPr>
            <w:tcW w:w="2371" w:type="dxa"/>
            <w:tcMar>
              <w:top w:w="113" w:type="dxa"/>
              <w:bottom w:w="113" w:type="dxa"/>
            </w:tcMar>
            <w:tcBorders>
              <w:right w:val="single" w:sz="4" w:space="0" w:color="000000" tmln="10, 20, 20, 0, 0"/>
            </w:tcBorders>
            <w:tmTcPr id="1740580805" protected="0"/>
          </w:tcPr>
          <w:p>
            <w:pPr>
              <w:rPr>
                <w:rFonts w:ascii="Arial" w:hAnsi="Arial" w:eastAsia="Arial" w:cs="Arial"/>
              </w:rPr>
            </w:pPr>
            <w:r>
              <w:rPr>
                <w:rFonts w:ascii="Arial" w:hAnsi="Arial" w:eastAsia="Arial" w:cs="Arial"/>
              </w:rPr>
              <w:t>What</w:t>
            </w:r>
          </w:p>
        </w:tc>
        <w:tc>
          <w:tcPr>
            <w:tcW w:w="9827" w:type="dxa"/>
            <w:tcMar>
              <w:top w:w="113" w:type="dxa"/>
              <w:bottom w:w="113" w:type="dxa"/>
            </w:tcMar>
            <w:tcBorders>
              <w:left w:val="single" w:sz="4" w:space="0" w:color="000000" tmln="10, 20, 20, 0, 0"/>
              <w:right w:val="single" w:sz="4" w:space="0" w:color="000000" tmln="10, 20, 20, 0, 0"/>
            </w:tcBorders>
            <w:tmTcPr id="1740580805" protected="0"/>
          </w:tcPr>
          <w:p>
            <w:pPr>
              <w:rPr>
                <w:rFonts w:ascii="Arial" w:hAnsi="Arial" w:eastAsia="Arial" w:cs="Arial"/>
              </w:rPr>
            </w:pPr>
            <w:r>
              <w:rPr>
                <w:rFonts w:ascii="Arial" w:hAnsi="Arial" w:eastAsia="Arial" w:cs="Arial"/>
              </w:rPr>
              <w:t>Why</w:t>
            </w:r>
          </w:p>
        </w:tc>
        <w:tc>
          <w:tcPr>
            <w:tcW w:w="3201" w:type="dxa"/>
            <w:tcMar>
              <w:top w:w="113" w:type="dxa"/>
              <w:bottom w:w="113" w:type="dxa"/>
            </w:tcMar>
            <w:tcBorders>
              <w:left w:val="single" w:sz="4" w:space="0" w:color="000000" tmln="10, 20, 20, 0, 0"/>
            </w:tcBorders>
            <w:tmTcPr id="1740580805" protected="0"/>
          </w:tcPr>
          <w:p>
            <w:pPr>
              <w:rPr>
                <w:rFonts w:ascii="Arial" w:hAnsi="Arial" w:eastAsia="Arial" w:cs="Arial"/>
              </w:rPr>
            </w:pPr>
            <w:r>
              <w:rPr>
                <w:rFonts w:ascii="Arial" w:hAnsi="Arial" w:eastAsia="Arial" w:cs="Arial"/>
              </w:rPr>
              <w:t>Resource</w:t>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Equipment &amp; Facilities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You will need sufficient bosses+faces/3D targets for the course, plus practice butts (1:10 archers if pos), red,blue,yellow,white pegs, direction arrows, number boards, photos of 3D targets, safety tape/signs, “nappies”, face pins, toilets (at least 3), first aid kit, registration equipment, catering equipment, covered area, tables, chairs.</w:t>
            </w:r>
          </w:p>
        </w:tc>
        <w:tc>
          <w:tcPr>
            <w:tcW w:w="3201" w:type="dxa"/>
            <w:tcMar>
              <w:top w:w="113" w:type="dxa"/>
              <w:bottom w:w="113" w:type="dxa"/>
            </w:tcMar>
            <w:tcBorders>
              <w:top w:val="single" w:sz="4" w:space="0" w:color="9CC2E5" tmln="10, 20, 20, 0, 0"/>
            </w:tcBorders>
            <w:tmTcPr id="1740580805" protected="0"/>
          </w:tcPr>
          <w:p>
            <w:p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Range registration</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b/>
                <w:bCs/>
                <w:i/>
                <w:iCs/>
              </w:rPr>
            </w:pPr>
            <w:r>
              <w:rPr>
                <w:rFonts w:ascii="Arial" w:hAnsi="Arial" w:eastAsia="Arial" w:cs="Arial"/>
                <w:b/>
                <w:bCs/>
                <w:i/>
                <w:iCs/>
              </w:rPr>
              <w:t>The Field/3D range MUST be registered with AGB, otherwise your event will not be insured</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Sport80</w:t>
              <w:br w:type="textWrapping"/>
              <w:t>(Home -&gt; Range Registrations)</w:t>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Register the event</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b/>
                <w:bCs/>
              </w:rPr>
              <w:t>Field:</w:t>
            </w:r>
            <w:r>
              <w:rPr>
                <w:rFonts w:ascii="Arial" w:hAnsi="Arial" w:eastAsia="Arial" w:cs="Arial"/>
              </w:rPr>
              <w:t xml:space="preserve">  Record Status and/or Arrowhead events must be sanctioned using Sport80. A fee is payable to obtain the event status.</w:t>
              <w:br w:type="textWrapping"/>
            </w:r>
          </w:p>
          <w:p>
            <w:pPr>
              <w:rPr>
                <w:rFonts w:ascii="Arial" w:hAnsi="Arial" w:eastAsia="Arial" w:cs="Arial"/>
              </w:rPr>
            </w:pPr>
            <w:r>
              <w:rPr>
                <w:rFonts w:ascii="Arial" w:hAnsi="Arial" w:eastAsia="Arial" w:cs="Arial"/>
                <w:b/>
                <w:bCs/>
              </w:rPr>
              <w:t>Field/3D:</w:t>
            </w:r>
            <w:r>
              <w:rPr>
                <w:rFonts w:ascii="Arial" w:hAnsi="Arial" w:eastAsia="Arial" w:cs="Arial"/>
              </w:rPr>
              <w:t xml:space="preserve"> Non-record status events should still be sanctioned on Sport80 so that they appear on the AGB event calendar. </w:t>
            </w:r>
            <w:r>
              <w:rPr>
                <w:rFonts w:ascii="Arial" w:hAnsi="Arial" w:eastAsia="Arial" w:cs="Arial"/>
                <w:i/>
                <w:iCs/>
              </w:rPr>
              <w:t>There is no charge for these events</w:t>
            </w:r>
            <w:r>
              <w:rPr>
                <w:rFonts w:ascii="Arial" w:hAnsi="Arial" w:eastAsia="Arial" w:cs="Arial"/>
              </w:rPr>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Sport80</w:t>
              <w:br w:type="textWrapping"/>
              <w:t>(Menu -&gt; Sanctioning)</w:t>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Inform authorities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If necessary, contact any local authorities to inform them of the event, e.g. Council, Police</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Recruit judges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 xml:space="preserve">AGB rules require that the lead judge be of an appropriate level for the competition; </w:t>
              <w:br w:type="textWrapping"/>
              <w:t xml:space="preserve">- WRS/Arrowhead require a national judge, others require regional or county judges  </w:t>
              <w:br w:type="textWrapping"/>
              <w:t>- Record status/3D events require one judge per 8 targets, plus an optional CoJ</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 xml:space="preserve">Rules of shooting, </w:t>
              <w:br w:type="textWrapping"/>
              <w:t>Appendix B</w:t>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Recruit volunteers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The event will need people to man registration, catering, car parking etc. and you will need work party available to assist setting up the course and equipment, and to assist the judges should any changes be needed during the event.  You may wish to have a first aider on site.</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Organise catering</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Most shoots provide some catering; tea/coffee, snacks/cake, another source of income for the club</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Publish Shoot details</w:t>
              <w:br w:type="textWrapping"/>
              <w:t>(Prospectus)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 xml:space="preserve">A prospectus should contain all essential details:  Date, location, description of round, entry fees, registration &amp; assembly timings, availability of practice butts, awards, age groups, bow styles, how to purchase tickets and refund policy.  </w:t>
              <w:br w:type="textWrapping"/>
              <w:br w:type="textWrapping"/>
              <w:t>It should also reference the AGB policies; “dogs at competitions”, “anti-doping”, “data protection” and “safeguarding and protecting” - these can be found by searching using the words as shown</w:t>
            </w:r>
          </w:p>
          <w:p>
            <w:pPr>
              <w:rPr>
                <w:rFonts w:ascii="Arial" w:hAnsi="Arial" w:eastAsia="Arial" w:cs="Arial"/>
              </w:rPr>
            </w:pPr>
            <w:r>
              <w:rPr>
                <w:rFonts w:ascii="Arial" w:hAnsi="Arial" w:eastAsia="Arial" w:cs="Arial"/>
              </w:rPr>
            </w:r>
          </w:p>
          <w:p>
            <w:pPr>
              <w:rPr>
                <w:rFonts w:ascii="Arial" w:hAnsi="Arial" w:eastAsia="Arial" w:cs="Arial"/>
              </w:rPr>
            </w:pPr>
            <w:r>
              <w:rPr>
                <w:rFonts w:ascii="Arial" w:hAnsi="Arial" w:eastAsia="Arial" w:cs="Arial"/>
              </w:rPr>
              <w:t>Field &amp; 3D events should:</w:t>
              <w:br w:type="textWrapping"/>
              <w:t>- allow all AGB bow styles and not restrict entrants to WA bow styles.</w:t>
              <w:br w:type="textWrapping"/>
              <w:t xml:space="preserve">- include the white peg and </w:t>
            </w:r>
            <w:r>
              <w:rPr>
                <w:rFonts w:ascii="Arial" w:hAnsi="Arial" w:eastAsia="Arial" w:cs="Arial"/>
                <w:i/>
                <w:iCs/>
              </w:rPr>
              <w:t>may</w:t>
            </w:r>
            <w:r>
              <w:rPr>
                <w:rFonts w:ascii="Arial" w:hAnsi="Arial" w:eastAsia="Arial" w:cs="Arial"/>
              </w:rPr>
              <w:t xml:space="preserve"> also include the new yellow peg (field only) for appropriate age groups</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b/>
                <w:bCs/>
                <w:i/>
                <w:iCs/>
              </w:rPr>
              <w:t>Example prospectus</w:t>
            </w:r>
            <w:r>
              <w:rPr>
                <w:rFonts w:ascii="Arial" w:hAnsi="Arial" w:eastAsia="Arial" w:cs="Arial"/>
              </w:rPr>
              <w:br w:type="textWrapping"/>
              <w:br w:type="textWrapping"/>
              <w:br w:type="textWrapping"/>
              <w:br w:type="textWrapping"/>
            </w:r>
            <w:hyperlink r:id="rId8" w:history="1">
              <w:r>
                <w:rPr>
                  <w:rStyle w:val="char1"/>
                  <w:rFonts w:ascii="Arial" w:hAnsi="Arial" w:eastAsia="Arial" w:cs="Arial"/>
                </w:rPr>
                <w:t>www.archerygb.org</w:t>
              </w:r>
            </w:hyperlink>
            <w:r>
              <w:rPr>
                <w:rFonts w:ascii="Arial" w:hAnsi="Arial" w:eastAsia="Arial" w:cs="Arial"/>
              </w:rPr>
              <w:t xml:space="preserve"> -&gt; Resources -&gt; Find a document</w:t>
              <w:br w:type="textWrapping"/>
              <w:br w:type="textWrapping"/>
              <w:br w:type="textWrapping"/>
              <w:t>Rules of shooting</w:t>
            </w:r>
            <w:r>
              <w:rPr>
                <w:rFonts w:ascii="Arial" w:hAnsi="Arial" w:eastAsia="Arial" w:cs="Arial"/>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Prepare results system</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For events using Ianseo, the event must be set-up using the templates available for AGB field and 3D, as these have been updated to support all the AGB bow styles and age categories</w:t>
            </w:r>
          </w:p>
          <w:p>
            <w:pPr>
              <w:rPr>
                <w:rFonts w:ascii="Arial" w:hAnsi="Arial" w:eastAsia="Arial" w:cs="Arial"/>
              </w:rPr>
            </w:pPr>
            <w:r>
              <w:rPr>
                <w:rFonts w:ascii="Arial" w:hAnsi="Arial" w:eastAsia="Arial" w:cs="Arial"/>
              </w:rPr>
              <w:br w:type="textWrapping"/>
              <w:t>Or, any other method may be used, e.g. a spreadsheet.</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www.ianseo.net</w:t>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Design (Field) course</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A field course must use the correct target faces and distances and usually consists of 24 targets. For two day competitions, 12 faces and/or distances should be changed on the second day, in order for the course to be eligible for record status, GB team qualification, and Field rankings</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b/>
                <w:bCs/>
                <w:i/>
                <w:iCs/>
              </w:rPr>
            </w:pPr>
            <w:r>
              <w:rPr>
                <w:rFonts w:ascii="Arial" w:hAnsi="Arial" w:eastAsia="Arial" w:cs="Arial"/>
                <w:b/>
                <w:bCs/>
                <w:i/>
                <w:iCs/>
              </w:rPr>
              <w:t>Distance checksheets</w:t>
            </w:r>
          </w:p>
          <w:p>
            <w:pPr>
              <w:rPr>
                <w:rFonts w:ascii="Arial" w:hAnsi="Arial" w:eastAsia="Arial" w:cs="Arial"/>
                <w:b/>
                <w:bCs/>
                <w:i/>
                <w:iCs/>
              </w:rPr>
            </w:pPr>
            <w:r>
              <w:rPr>
                <w:rFonts w:ascii="Arial" w:hAnsi="Arial" w:eastAsia="Arial" w:cs="Arial"/>
                <w:b/>
                <w:bCs/>
                <w:i/>
                <w:iCs/>
              </w:rPr>
              <w:t>Field course design guide</w:t>
              <w:br w:type="textWrapping"/>
            </w:r>
            <w:r>
              <w:rPr>
                <w:rFonts w:ascii="Arial" w:hAnsi="Arial" w:eastAsia="Arial" w:cs="Arial"/>
                <w:i/>
                <w:iCs/>
              </w:rPr>
              <w:t>WA rules</w:t>
            </w:r>
            <w:r>
              <w:rPr>
                <w:rFonts w:ascii="Arial" w:hAnsi="Arial" w:eastAsia="Arial" w:cs="Arial"/>
                <w:b/>
                <w:bCs/>
                <w:i/>
                <w:iCs/>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Design (3D) course</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A 3D course should ensure that the average distances for each peg fall within the AGB requirements and that at least 12 shots are changed in some way on day 2, in order to be eligible for GB team qualification and 3D rankings.</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AGB 3D guidelines</w:t>
              <w:br w:type="textWrapping"/>
            </w:r>
            <w:r>
              <w:rPr>
                <w:rFonts w:ascii="Arial" w:hAnsi="Arial" w:eastAsia="Arial" w:cs="Arial"/>
                <w:b/>
                <w:bCs/>
                <w:i/>
                <w:iCs/>
              </w:rPr>
              <w:t>3D course design guide</w:t>
            </w:r>
            <w:r>
              <w:rPr>
                <w:rFonts w:ascii="Arial" w:hAnsi="Arial" w:eastAsia="Arial" w:cs="Arial"/>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Create “Judge pack”</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Judges require a copy of all the distances as laid out on the course, along with a map of the course and details of the archer shooting group list for the day(s)</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b/>
                <w:bCs/>
                <w:i/>
                <w:iCs/>
              </w:rPr>
            </w:pPr>
            <w:r>
              <w:rPr>
                <w:rFonts w:ascii="Arial" w:hAnsi="Arial" w:eastAsia="Arial" w:cs="Arial"/>
                <w:b/>
                <w:bCs/>
                <w:i/>
                <w:iCs/>
              </w:rPr>
              <w:t>Distance checksheets</w:t>
            </w:r>
          </w:p>
          <w:p>
            <w:pPr>
              <w:rPr>
                <w:rFonts w:ascii="Arial" w:hAnsi="Arial" w:eastAsia="Arial" w:cs="Arial"/>
              </w:rPr>
            </w:pPr>
            <w:r>
              <w:rPr>
                <w:rFonts w:ascii="Arial" w:hAnsi="Arial" w:eastAsia="Arial" w:cs="Arial"/>
              </w:rPr>
              <w:t>Example Map</w:t>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Archer shooting groups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 xml:space="preserve">Shooting group lists need to be arranged, with sufficient detail for the judges to use it for equipment inspection and admin to use it for registration; Name, AGB number, bow style, peg, starting target number.  When creating these, consider the “speed of the course” </w:t>
              <w:br w:type="textWrapping"/>
              <w:t>- mixed groups of 2 x red peg and 2 x blue peg are better than 4 x red and 4 x blue</w:t>
              <w:br w:type="textWrapping"/>
              <w:t>- take care in placement of white pegs in mixed peg groups, as this can lead to 3 shooting details</w:t>
            </w:r>
          </w:p>
          <w:p>
            <w:pPr>
              <w:rPr>
                <w:rFonts w:ascii="Arial" w:hAnsi="Arial" w:eastAsia="Arial" w:cs="Arial"/>
              </w:rPr>
            </w:pPr>
            <w:r>
              <w:rPr>
                <w:rFonts w:ascii="Arial" w:hAnsi="Arial" w:eastAsia="Arial" w:cs="Arial"/>
              </w:rPr>
              <w:t>- ensure juniors are placed with appropriate guardians, or have a parent walking round with them</w:t>
              <w:br w:type="textWrapping"/>
              <w:t>- consider archers that are known to be slow; if there are empty pegs, place their group ahead of these</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Example Shooting Groups</w:t>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Claim forms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 xml:space="preserve">Ensure that you have the right claim forms for the event, along with the required scores for those claims:  WA Arrowhead, UK records, EMB/GMB/MB claims.  </w:t>
              <w:br w:type="textWrapping"/>
              <w:t xml:space="preserve">(Archers claim County records themselves and Archer/Bowman classifications through their club) </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b/>
                <w:bCs/>
                <w:i/>
                <w:iCs/>
              </w:rPr>
            </w:pPr>
            <w:r>
              <w:rPr>
                <w:rFonts w:ascii="Arial" w:hAnsi="Arial" w:eastAsia="Arial" w:cs="Arial"/>
                <w:b/>
                <w:bCs/>
                <w:i/>
                <w:iCs/>
              </w:rPr>
              <w:t>Resource folder</w:t>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 xml:space="preserve">Registration </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 xml:space="preserve">Archers AGB numbers should be checked.  Any non-AGB member shooting will negate the insurance for the </w:t>
            </w:r>
            <w:r>
              <w:rPr>
                <w:rFonts w:ascii="Arial" w:hAnsi="Arial" w:eastAsia="Arial" w:cs="Arial"/>
                <w:b/>
                <w:bCs/>
              </w:rPr>
              <w:t>WHOLE</w:t>
            </w:r>
            <w:r>
              <w:rPr>
                <w:rFonts w:ascii="Arial" w:hAnsi="Arial" w:eastAsia="Arial" w:cs="Arial"/>
              </w:rPr>
              <w:t xml:space="preserve"> event</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Medals/Trophies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A medal/awards policy should be published, perhaps on the prospectus; it is fairly normal to award medals based on how many entries there are in each bow style:</w:t>
              <w:br w:type="textWrapping"/>
              <w:t>Adults: 1–3 entries = 1 medal. 4–6 entries = 2 medals, 7 or more entries = 3 medals</w:t>
              <w:br w:type="textWrapping"/>
              <w:t>Juniors:  Gold, Silver, Bronze</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Gifts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Remember to purchase gifts for judges, key helpers, Lord/Lady P, landowner</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Judges expenses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Make sure to give the judges an expense claim for the event</w:t>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b/>
                <w:bCs/>
                <w:i/>
                <w:iCs/>
              </w:rPr>
            </w:pPr>
            <w:r>
              <w:rPr>
                <w:rFonts w:ascii="Arial" w:hAnsi="Arial" w:eastAsia="Arial" w:cs="Arial"/>
                <w:b/>
                <w:bCs/>
                <w:i/>
                <w:iCs/>
              </w:rPr>
              <w:t>Resource folder</w:t>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Results sheet</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b/>
                <w:bCs/>
              </w:rPr>
            </w:pPr>
            <w:r>
              <w:rPr>
                <w:rFonts w:ascii="Arial" w:hAnsi="Arial" w:eastAsia="Arial" w:cs="Arial"/>
              </w:rPr>
              <w:t xml:space="preserve">Archers expect the results to be published in good time, so having a sheet ready helps when scorecards are returned.  If using ianseo, the results can be easily published there. </w:t>
              <w:br w:type="textWrapping"/>
              <w:t xml:space="preserve">Results should also be submitted to </w:t>
            </w:r>
            <w:r>
              <w:rPr>
                <w:rFonts w:ascii="Arial" w:hAnsi="Arial" w:eastAsia="Arial" w:cs="Arial"/>
                <w:b/>
                <w:bCs/>
              </w:rPr>
              <w:t>tournaments@archerygb.org</w:t>
            </w:r>
            <w:r>
              <w:rPr>
                <w:rFonts w:ascii="Arial" w:hAnsi="Arial" w:eastAsia="Arial" w:cs="Arial"/>
                <w:b/>
                <w:bCs/>
              </w:rPr>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b/>
                <w:bCs/>
                <w:i/>
                <w:iCs/>
              </w:rPr>
            </w:pPr>
            <w:r>
              <w:rPr>
                <w:rFonts w:ascii="Arial" w:hAnsi="Arial" w:eastAsia="Arial" w:cs="Arial"/>
                <w:b/>
                <w:bCs/>
                <w:i/>
                <w:iCs/>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Rankings sheet</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 xml:space="preserve">The field/3D rankings requires that the results be put in a certain format so that they can be imported into the ranking system. The system can take this format, or an export from ianseo (assuming that the AGB template was used when creating the event).  </w:t>
              <w:br w:type="textWrapping"/>
              <w:t xml:space="preserve">The sheet should be emailed to </w:t>
            </w:r>
            <w:r>
              <w:rPr>
                <w:rFonts w:ascii="Arial" w:hAnsi="Arial" w:eastAsia="Arial" w:cs="Arial"/>
                <w:b/>
                <w:bCs/>
              </w:rPr>
              <w:t>Field3D@archerygb.org</w:t>
            </w:r>
            <w:r>
              <w:rPr>
                <w:rFonts w:ascii="Arial" w:hAnsi="Arial" w:eastAsia="Arial" w:cs="Arial"/>
              </w:rPr>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rPr>
            </w:pPr>
            <w:hyperlink r:id="rId9" w:history="1">
              <w:r>
                <w:rPr>
                  <w:rStyle w:val="char1"/>
                  <w:rFonts w:ascii="Arial" w:hAnsi="Arial" w:eastAsia="Arial" w:cs="Arial"/>
                </w:rPr>
                <w:t>https://fieldrankings.expertarcher.com/info</w:t>
              </w:r>
            </w:hyperlink>
            <w:r>
              <w:rPr>
                <w:rFonts w:ascii="Arial" w:hAnsi="Arial" w:eastAsia="Arial" w:cs="Arial"/>
              </w:rPr>
              <w:t xml:space="preserve"> </w:t>
            </w:r>
            <w:r>
              <w:rPr>
                <w:rFonts w:ascii="Arial" w:hAnsi="Arial" w:eastAsia="Arial" w:cs="Arial"/>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TO report</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After the event, the judges will complete their report form, and the TO must complete the AGB report for Tournament Organisers</w:t>
              <w:br w:type="textWrapping"/>
            </w:r>
            <w:hyperlink r:id="rId10" w:history="1">
              <w:r>
                <w:rPr>
                  <w:rStyle w:val="char1"/>
                  <w:rFonts w:ascii="Arial" w:hAnsi="Arial" w:eastAsia="Arial" w:cs="Arial"/>
                </w:rPr>
                <w:t>https://archerygb.org/files/Tournament-Organisers-Report-Form.pdf</w:t>
              </w:r>
            </w:hyperlink>
            <w:r>
              <w:rPr>
                <w:rFonts w:ascii="Arial" w:hAnsi="Arial" w:eastAsia="Arial" w:cs="Arial"/>
              </w:rPr>
              <w:t xml:space="preserve"> </w:t>
            </w:r>
            <w:r>
              <w:rPr>
                <w:rFonts w:ascii="Arial" w:hAnsi="Arial" w:eastAsia="Arial" w:cs="Arial"/>
              </w:rPr>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color w:val="0000ff"/>
                <w:u w:color="auto" w:val="single"/>
              </w:rPr>
            </w:pPr>
            <w:r>
              <w:rPr>
                <w:rFonts w:ascii="Arial" w:hAnsi="Arial" w:eastAsia="Arial" w:cs="Arial"/>
                <w:color w:val="0000ff"/>
                <w:u w:color="auto" w:val="single"/>
              </w:rPr>
            </w:r>
          </w:p>
        </w:tc>
      </w:tr>
      <w:tr>
        <w:trPr>
          <w:tblHeader w:val="0"/>
          <w:cantSplit w:val="0"/>
          <w:trHeight w:val="0" w:hRule="auto"/>
        </w:trPr>
        <w:tc>
          <w:tcPr>
            <w:tcW w:w="2371"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Claim forms</w:t>
            </w:r>
          </w:p>
        </w:tc>
        <w:tc>
          <w:tcPr>
            <w:tcW w:w="9827" w:type="dxa"/>
            <w:tcMar>
              <w:top w:w="113" w:type="dxa"/>
              <w:bottom w:w="113" w:type="dxa"/>
            </w:tcMar>
            <w:tcBorders>
              <w:top w:val="single" w:sz="4" w:space="0" w:color="9CC2E5" tmln="10, 20, 20, 0, 0"/>
            </w:tcBorders>
            <w:tmTcPr id="1740580805" protected="0"/>
          </w:tcPr>
          <w:p>
            <w:pPr>
              <w:rPr>
                <w:rFonts w:ascii="Arial" w:hAnsi="Arial" w:eastAsia="Arial" w:cs="Arial"/>
              </w:rPr>
            </w:pPr>
            <w:r>
              <w:rPr>
                <w:rFonts w:ascii="Arial" w:hAnsi="Arial" w:eastAsia="Arial" w:cs="Arial"/>
              </w:rPr>
              <w:t xml:space="preserve">Archers will have completed claim forms for Arrowhead, MB/GMB and UK records.  </w:t>
              <w:br w:type="textWrapping"/>
              <w:t xml:space="preserve">These must be submitted to AGB for processing to </w:t>
            </w:r>
            <w:r>
              <w:rPr>
                <w:rFonts w:ascii="Arial" w:hAnsi="Arial" w:eastAsia="Arial" w:cs="Arial"/>
                <w:b/>
                <w:bCs/>
              </w:rPr>
              <w:t>tournaments@archerygb.org</w:t>
            </w:r>
            <w:r>
              <w:rPr>
                <w:rFonts w:ascii="Arial" w:hAnsi="Arial" w:eastAsia="Arial" w:cs="Arial"/>
              </w:rPr>
            </w:r>
          </w:p>
        </w:tc>
        <w:tc>
          <w:tcPr>
            <w:tcW w:w="3201" w:type="dxa"/>
            <w:tcMar>
              <w:top w:w="113" w:type="dxa"/>
              <w:bottom w:w="113" w:type="dxa"/>
            </w:tcMar>
            <w:tcBorders>
              <w:top w:val="single" w:sz="4" w:space="0" w:color="9CC2E5" tmln="10, 20, 20, 0, 0"/>
            </w:tcBorders>
            <w:tmTcPr id="1740580805" protected="0"/>
          </w:tcPr>
          <w:p>
            <w:pPr>
              <w:rPr>
                <w:rFonts w:ascii="Arial" w:hAnsi="Arial" w:eastAsia="Arial" w:cs="Arial"/>
                <w:b/>
                <w:bCs/>
                <w:i/>
                <w:iCs/>
              </w:rPr>
            </w:pPr>
            <w:r>
              <w:rPr>
                <w:rFonts w:ascii="Arial" w:hAnsi="Arial" w:eastAsia="Arial" w:cs="Arial"/>
                <w:b/>
                <w:bCs/>
                <w:i/>
                <w:iCs/>
              </w:rPr>
              <w:t>Resource folder</w:t>
            </w:r>
          </w:p>
        </w:tc>
      </w:tr>
    </w:tbl>
    <w:p>
      <w:pPr>
        <w:rPr>
          <w:rFonts w:ascii="Arial" w:hAnsi="Arial" w:eastAsia="Arial" w:cs="Arial"/>
        </w:rPr>
      </w:pPr>
      <w:r>
        <w:rPr>
          <w:rFonts w:ascii="Arial" w:hAnsi="Arial" w:eastAsia="Arial" w:cs="Arial"/>
        </w:rPr>
      </w:r>
    </w:p>
    <w:p>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p>
    <w:p>
      <w:pPr>
        <w:pStyle w:val="para1"/>
      </w:pPr>
      <w:r>
        <w:t>Questions/Issues/Actions that arise from this document</w:t>
      </w:r>
    </w:p>
    <w:p>
      <w:r/>
    </w:p>
    <w:p>
      <w:pPr>
        <w:numPr>
          <w:ilvl w:val="0"/>
          <w:numId w:val="1"/>
        </w:numPr>
        <w:ind w:left="360" w:hanging="360"/>
        <w:rPr>
          <w:rFonts w:ascii="Arial" w:hAnsi="Arial" w:eastAsia="Arial" w:cs="Arial"/>
          <w:sz w:val="22"/>
          <w:szCs w:val="22"/>
        </w:rPr>
      </w:pPr>
      <w:r>
        <w:rPr>
          <w:rFonts w:ascii="Arial" w:hAnsi="Arial" w:eastAsia="Arial" w:cs="Arial"/>
          <w:sz w:val="22"/>
          <w:szCs w:val="22"/>
        </w:rPr>
        <w:t>Event registration ’Sanctioning - in Sport80’</w:t>
      </w:r>
    </w:p>
    <w:p>
      <w:pPr>
        <w:numPr>
          <w:ilvl w:val="0"/>
          <w:numId w:val="1"/>
        </w:numPr>
        <w:ind w:left="1068" w:hanging="360"/>
        <w:rPr>
          <w:rFonts w:ascii="Arial" w:hAnsi="Arial" w:eastAsia="Arial" w:cs="Arial"/>
          <w:sz w:val="22"/>
          <w:szCs w:val="22"/>
        </w:rPr>
      </w:pPr>
      <w:r>
        <w:rPr>
          <w:rFonts w:ascii="Arial" w:hAnsi="Arial" w:eastAsia="Arial" w:cs="Arial"/>
          <w:sz w:val="22"/>
          <w:szCs w:val="22"/>
        </w:rPr>
        <w:t>There is no category for registering a 3D event - they should be registered as Field and made clear in the title that they are 3D</w:t>
      </w:r>
    </w:p>
    <w:p>
      <w:pPr>
        <w:numPr>
          <w:ilvl w:val="0"/>
          <w:numId w:val="1"/>
        </w:numPr>
        <w:ind w:left="1068" w:hanging="360"/>
        <w:rPr>
          <w:rFonts w:ascii="Arial" w:hAnsi="Arial" w:eastAsia="Arial" w:cs="Arial"/>
          <w:sz w:val="22"/>
          <w:szCs w:val="22"/>
        </w:rPr>
      </w:pPr>
      <w:r>
        <w:rPr>
          <w:rFonts w:ascii="Arial" w:hAnsi="Arial" w:eastAsia="Arial" w:cs="Arial"/>
          <w:sz w:val="22"/>
          <w:szCs w:val="22"/>
        </w:rPr>
        <w:t>Sanctioning takes time, and before an event is sanctioned, it does not show up on the calendar</w:t>
      </w:r>
    </w:p>
    <w:p>
      <w:pPr>
        <w:numPr>
          <w:ilvl w:val="0"/>
          <w:numId w:val="1"/>
        </w:numPr>
        <w:ind w:left="1068" w:hanging="360"/>
        <w:rPr>
          <w:rFonts w:ascii="Arial" w:hAnsi="Arial" w:eastAsia="Arial" w:cs="Arial"/>
          <w:sz w:val="22"/>
          <w:szCs w:val="22"/>
        </w:rPr>
      </w:pPr>
      <w:r>
        <w:rPr>
          <w:rFonts w:ascii="Arial" w:hAnsi="Arial" w:eastAsia="Arial" w:cs="Arial"/>
          <w:sz w:val="22"/>
          <w:szCs w:val="22"/>
        </w:rPr>
        <w:t>Event finder does not have a “3D” type to filter on</w:t>
      </w:r>
    </w:p>
    <w:p>
      <w:pPr>
        <w:rPr>
          <w:rFonts w:ascii="Arial" w:hAnsi="Arial" w:eastAsia="Arial" w:cs="Arial"/>
          <w:sz w:val="22"/>
          <w:szCs w:val="22"/>
        </w:rPr>
      </w:pPr>
      <w:r>
        <w:rPr>
          <w:rFonts w:ascii="Arial" w:hAnsi="Arial" w:eastAsia="Arial" w:cs="Arial"/>
          <w:sz w:val="22"/>
          <w:szCs w:val="22"/>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p>
    <w:sectPr>
      <w:footnotePr>
        <w:pos w:val="pageBottom"/>
        <w:numFmt w:val="decimal"/>
        <w:numStart w:val="1"/>
        <w:numRestart w:val="continuous"/>
      </w:footnotePr>
      <w:endnotePr>
        <w:pos w:val="docEnd"/>
        <w:numFmt w:val="lowerRoman"/>
        <w:numStart w:val="1"/>
        <w:numRestart w:val="continuous"/>
      </w:endnotePr>
      <w:type w:val="continuous"/>
      <w:pgSz w:h="11907" w:w="16839" w:orient="landscape"/>
      <w:pgMar w:left="720" w:top="720" w:right="720" w:bottom="720"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suff w:val="tab"/>
      <w:lvlText w:val=""/>
      <w:lvlJc w:val="left"/>
      <w:pPr>
        <w:ind w:left="0" w:hanging="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0"/>
    <w:tmLastPosCaret>
      <w:tmLastPosPgfIdx w:val="12"/>
      <w:tmLastPosIdx w:val="0"/>
    </w:tmLastPosCaret>
    <w:tmLastPosAnchor>
      <w:tmLastPosPgfIdx w:val="0"/>
      <w:tmLastPosIdx w:val="0"/>
    </w:tmLastPosAnchor>
    <w:tmLastPosTblRect w:left="0" w:top="0" w:right="0" w:bottom="0"/>
  </w:tmLastPos>
  <w:tmAppRevision w:date="1740580805" w:val="122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GridTable4-Accent1">
    <w:name w:val="Grid Table 4 - Accent 1"/>
    <w:basedOn w:val="TableNormal"/>
    <w:tblPr>
      <w:tblStyleRowBandSize w:val="1"/>
      <w:tblStyleColBandSize w:val="1"/>
      <w:tblBorders>
        <w:top w:val="single" w:sz="4" w:space="0" w:color="9CC2E5" tmln="10, 0, 0, 0, 0"/>
        <w:left w:val="single" w:sz="4" w:space="0" w:color="9CC2E5" tmln="10, 0, 0, 0, 0"/>
        <w:bottom w:val="single" w:sz="4" w:space="0" w:color="9CC2E5" tmln="10, 0, 0, 0, 0"/>
        <w:right w:val="single" w:sz="4" w:space="0" w:color="9CC2E5" tmln="10, 0, 0, 0, 0"/>
        <w:insideH w:val="single" w:sz="4" w:space="0" w:color="9CC2E5" tmln="10, 0, 0, 0, 0"/>
        <w:insideV w:val="single" w:sz="4" w:space="0" w:color="9CC2E5" tmln="10, 0, 0, 0, 0"/>
      </w:tblBorders>
    </w:tblPr>
    <w:tblStylePr w:type="firstRow">
      <w:rPr>
        <w:b/>
        <w:bCs/>
        <w:color w:val="ffffff"/>
      </w:rPr>
      <w:tcPr>
        <w:tcBorders>
          <w:top w:val="single" w:sz="4" w:space="0" w:color="5B9BD5" tmln="10, 0, 0, 0, 0"/>
          <w:left w:val="single" w:sz="4" w:space="0" w:color="5B9BD5" tmln="10, 0, 0, 0, 0"/>
          <w:bottom w:val="single" w:sz="4" w:space="0" w:color="5B9BD5" tmln="10, 0, 0, 0, 0"/>
          <w:right w:val="single" w:sz="4" w:space="0" w:color="5B9BD5" tmln="10, 0, 0, 0, 0"/>
        </w:tcBorders>
        <w:shd w:val="solid" w:color="5B9BD5" tmshd="1677721856, 0, 13998939"/>
      </w:tcPr>
    </w:tblStylePr>
    <w:tblStylePr w:type="lastRow">
      <w:rPr>
        <w:b/>
        <w:bCs/>
      </w:rPr>
      <w:tcPr>
        <w:tcBorders>
          <w:top w:val="double" w:sz="12" w:space="0" w:color="5B9BD5" tmln="10, 10, 10, 0, 0"/>
        </w:tcBorders>
      </w:tcPr>
    </w:tblStylePr>
    <w:tblStylePr w:type="firstCol">
      <w:rPr>
        <w:b/>
        <w:bCs/>
      </w:rPr>
    </w:tblStylePr>
    <w:tblStylePr w:type="lastCol">
      <w:rPr>
        <w:b/>
        <w:bCs/>
      </w:rPr>
    </w:tblStylePr>
    <w:tblStylePr w:type="band1Vert">
      <w:tcPr>
        <w:shd w:val="solid" w:color="DEEAF6" tmshd="1677721856, 0, 16181982"/>
      </w:tcPr>
    </w:tblStylePr>
    <w:tblStylePr w:type="band1Horz">
      <w:tcPr>
        <w:shd w:val="solid" w:color="DEEAF6" tmshd="1677721856, 0, 1618198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GridTable4-Accent1">
    <w:name w:val="Grid Table 4 - Accent 1"/>
    <w:basedOn w:val="TableNormal"/>
    <w:tblPr>
      <w:tblStyleRowBandSize w:val="1"/>
      <w:tblStyleColBandSize w:val="1"/>
      <w:tblBorders>
        <w:top w:val="single" w:sz="4" w:space="0" w:color="9CC2E5" tmln="10, 0, 0, 0, 0"/>
        <w:left w:val="single" w:sz="4" w:space="0" w:color="9CC2E5" tmln="10, 0, 0, 0, 0"/>
        <w:bottom w:val="single" w:sz="4" w:space="0" w:color="9CC2E5" tmln="10, 0, 0, 0, 0"/>
        <w:right w:val="single" w:sz="4" w:space="0" w:color="9CC2E5" tmln="10, 0, 0, 0, 0"/>
        <w:insideH w:val="single" w:sz="4" w:space="0" w:color="9CC2E5" tmln="10, 0, 0, 0, 0"/>
        <w:insideV w:val="single" w:sz="4" w:space="0" w:color="9CC2E5" tmln="10, 0, 0, 0, 0"/>
      </w:tblBorders>
    </w:tblPr>
    <w:tblStylePr w:type="firstRow">
      <w:rPr>
        <w:b/>
        <w:bCs/>
        <w:color w:val="ffffff"/>
      </w:rPr>
      <w:tcPr>
        <w:tcBorders>
          <w:top w:val="single" w:sz="4" w:space="0" w:color="5B9BD5" tmln="10, 0, 0, 0, 0"/>
          <w:left w:val="single" w:sz="4" w:space="0" w:color="5B9BD5" tmln="10, 0, 0, 0, 0"/>
          <w:bottom w:val="single" w:sz="4" w:space="0" w:color="5B9BD5" tmln="10, 0, 0, 0, 0"/>
          <w:right w:val="single" w:sz="4" w:space="0" w:color="5B9BD5" tmln="10, 0, 0, 0, 0"/>
        </w:tcBorders>
        <w:shd w:val="solid" w:color="5B9BD5" tmshd="1677721856, 0, 13998939"/>
      </w:tcPr>
    </w:tblStylePr>
    <w:tblStylePr w:type="lastRow">
      <w:rPr>
        <w:b/>
        <w:bCs/>
      </w:rPr>
      <w:tcPr>
        <w:tcBorders>
          <w:top w:val="double" w:sz="12" w:space="0" w:color="5B9BD5" tmln="10, 10, 10, 0, 0"/>
        </w:tcBorders>
      </w:tcPr>
    </w:tblStylePr>
    <w:tblStylePr w:type="firstCol">
      <w:rPr>
        <w:b/>
        <w:bCs/>
      </w:rPr>
    </w:tblStylePr>
    <w:tblStylePr w:type="lastCol">
      <w:rPr>
        <w:b/>
        <w:bCs/>
      </w:rPr>
    </w:tblStylePr>
    <w:tblStylePr w:type="band1Vert">
      <w:tcPr>
        <w:shd w:val="solid" w:color="DEEAF6" tmshd="1677721856, 0, 16181982"/>
      </w:tcPr>
    </w:tblStylePr>
    <w:tblStylePr w:type="band1Horz">
      <w:tcPr>
        <w:shd w:val="solid" w:color="DEEAF6" tmshd="1677721856, 0, 1618198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archerygb.org" TargetMode="External"/><Relationship Id="rId9" Type="http://schemas.openxmlformats.org/officeDocument/2006/relationships/hyperlink" Target="https://fieldrankings.expertarcher.com/info" TargetMode="External"/><Relationship Id="rId10" Type="http://schemas.openxmlformats.org/officeDocument/2006/relationships/hyperlink" Target="https://archerygb.org/files/Tournament-Organisers-Report-Form.pdf"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Allam</cp:lastModifiedBy>
  <cp:revision>6</cp:revision>
  <dcterms:created xsi:type="dcterms:W3CDTF">2024-06-24T21:02:11Z</dcterms:created>
  <dcterms:modified xsi:type="dcterms:W3CDTF">2025-02-26T14:40:05Z</dcterms:modified>
</cp:coreProperties>
</file>